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pPr w:leftFromText="180" w:rightFromText="180" w:vertAnchor="text" w:horzAnchor="margin" w:tblpXSpec="center" w:tblpY="-395"/>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1"/>
        <w:gridCol w:w="123"/>
        <w:gridCol w:w="1662"/>
        <w:gridCol w:w="1456"/>
        <w:gridCol w:w="1609"/>
        <w:gridCol w:w="1396"/>
      </w:tblGrid>
      <w:tr w:rsidR="001B5BEE" w14:paraId="3390F4DD"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1DCBEEB2" w14:textId="1DAEBCDA" w:rsidR="001B5BEE" w:rsidRDefault="001B5BEE" w:rsidP="001B5BEE">
            <w:pPr>
              <w:ind w:left="0" w:hanging="2"/>
              <w:textDirection w:val="lrTb"/>
              <w:rPr>
                <w:color w:val="000000"/>
              </w:rPr>
            </w:pPr>
            <w:r>
              <w:rPr>
                <w:b/>
                <w:color w:val="000000"/>
              </w:rPr>
              <w:t xml:space="preserve">Study level: </w:t>
            </w:r>
            <w:r w:rsidRPr="001B5BEE">
              <w:rPr>
                <w:bCs/>
                <w:color w:val="000000"/>
              </w:rPr>
              <w:t>Peace, Security and Development</w:t>
            </w:r>
          </w:p>
        </w:tc>
      </w:tr>
      <w:tr w:rsidR="001B5BEE" w14:paraId="5646DA4F"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5B0E7FBA" w14:textId="77777777" w:rsidR="001B5BEE" w:rsidRDefault="001B5BEE" w:rsidP="001B5BEE">
            <w:pPr>
              <w:ind w:left="0" w:hanging="2"/>
              <w:textDirection w:val="lrTb"/>
            </w:pPr>
            <w:r>
              <w:rPr>
                <w:b/>
              </w:rPr>
              <w:t xml:space="preserve">Course title: </w:t>
            </w:r>
            <w:r w:rsidRPr="001B5BEE">
              <w:rPr>
                <w:bCs/>
              </w:rPr>
              <w:t>European Security</w:t>
            </w:r>
          </w:p>
        </w:tc>
      </w:tr>
      <w:tr w:rsidR="001B5BEE" w14:paraId="53D48B60"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7731FD6F" w14:textId="6DCCC29C" w:rsidR="001B5BEE" w:rsidRDefault="001B5BEE" w:rsidP="001B5BEE">
            <w:pPr>
              <w:ind w:left="0" w:hanging="2"/>
              <w:textDirection w:val="lrTb"/>
            </w:pPr>
            <w:r>
              <w:rPr>
                <w:b/>
              </w:rPr>
              <w:t xml:space="preserve">Professor: </w:t>
            </w:r>
            <w:r>
              <w:t xml:space="preserve"> </w:t>
            </w:r>
            <w:r w:rsidRPr="001B5BEE">
              <w:rPr>
                <w:bCs/>
              </w:rPr>
              <w:t>Prof. Filip Ejdus; Marko Kovačević; Tijana Rečević</w:t>
            </w:r>
          </w:p>
        </w:tc>
      </w:tr>
      <w:tr w:rsidR="001B5BEE" w14:paraId="72E7D0F5"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1BF3CC0D" w14:textId="77777777" w:rsidR="001B5BEE" w:rsidRDefault="001B5BEE" w:rsidP="001B5BEE">
            <w:pPr>
              <w:ind w:left="0" w:hanging="2"/>
              <w:textDirection w:val="lrTb"/>
            </w:pPr>
            <w:r>
              <w:rPr>
                <w:b/>
              </w:rPr>
              <w:t xml:space="preserve">Compulsory/Elective: </w:t>
            </w:r>
            <w:r w:rsidRPr="001B5BEE">
              <w:rPr>
                <w:bCs/>
              </w:rPr>
              <w:t>Elective</w:t>
            </w:r>
          </w:p>
        </w:tc>
      </w:tr>
      <w:tr w:rsidR="001B5BEE" w14:paraId="67682A73"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424836B9" w14:textId="77777777" w:rsidR="001B5BEE" w:rsidRDefault="001B5BEE" w:rsidP="001B5BEE">
            <w:pPr>
              <w:ind w:left="0" w:hanging="2"/>
              <w:textDirection w:val="lrTb"/>
            </w:pPr>
            <w:r>
              <w:rPr>
                <w:b/>
              </w:rPr>
              <w:t>Number of ECTS: 6</w:t>
            </w:r>
            <w:r w:rsidRPr="001B5BEE">
              <w:rPr>
                <w:bCs/>
              </w:rPr>
              <w:t xml:space="preserve"> </w:t>
            </w:r>
          </w:p>
        </w:tc>
      </w:tr>
      <w:tr w:rsidR="001B5BEE" w14:paraId="5E9884EA"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2231766A" w14:textId="77777777" w:rsidR="001B5BEE" w:rsidRDefault="001B5BEE" w:rsidP="001B5BEE">
            <w:pPr>
              <w:ind w:left="0" w:hanging="2"/>
              <w:textDirection w:val="lrTb"/>
            </w:pPr>
            <w:r>
              <w:rPr>
                <w:b/>
              </w:rPr>
              <w:t>Condition:</w:t>
            </w:r>
          </w:p>
        </w:tc>
      </w:tr>
      <w:tr w:rsidR="001B5BEE" w14:paraId="214135E7"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1C2FFEFE" w14:textId="77777777" w:rsidR="001B5BEE" w:rsidRDefault="001B5BEE" w:rsidP="001B5BEE">
            <w:pPr>
              <w:ind w:left="0" w:hanging="2"/>
              <w:textDirection w:val="lrTb"/>
            </w:pPr>
            <w:r>
              <w:rPr>
                <w:b/>
              </w:rPr>
              <w:t>Aim of the course</w:t>
            </w:r>
          </w:p>
          <w:p w14:paraId="78562505" w14:textId="77777777" w:rsidR="001B5BEE" w:rsidRDefault="001B5BEE" w:rsidP="001B5BEE">
            <w:pPr>
              <w:ind w:left="0" w:hanging="2"/>
              <w:jc w:val="center"/>
              <w:textDirection w:val="lrTb"/>
            </w:pPr>
          </w:p>
          <w:p w14:paraId="1BD72D5A" w14:textId="77777777" w:rsidR="001B5BEE" w:rsidRDefault="001B5BEE" w:rsidP="001B5BEE">
            <w:pPr>
              <w:ind w:left="0" w:hanging="2"/>
              <w:jc w:val="both"/>
              <w:textDirection w:val="lrTb"/>
            </w:pPr>
            <w:r>
              <w:t>The course aims to acquaint students with key theoretical, empirical and political debates on European security. Students will be introduced to the key actors, institutions, policies and strategic challenges of European security. Special attention will be paid to the EU Common Security and Defence Policy, Neighbourhood Policy and Enlargement Policy in the Western Balkans. Although the focus of the course is on the EU, students will also learn about the broader European security architecture and the role of other important actors, both nation-states and international organizations, such as NATO, OSCE and CSTO.</w:t>
            </w:r>
          </w:p>
          <w:p w14:paraId="28F384FA" w14:textId="77777777" w:rsidR="001B5BEE" w:rsidRDefault="001B5BEE" w:rsidP="001B5BEE">
            <w:pPr>
              <w:ind w:left="0" w:hanging="2"/>
              <w:jc w:val="both"/>
              <w:textDirection w:val="lrTb"/>
            </w:pPr>
            <w:r>
              <w:t xml:space="preserve"> </w:t>
            </w:r>
          </w:p>
        </w:tc>
      </w:tr>
      <w:tr w:rsidR="001B5BEE" w14:paraId="7261250A"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5DBD928B" w14:textId="77777777" w:rsidR="001B5BEE" w:rsidRDefault="001B5BEE" w:rsidP="001B5BEE">
            <w:pPr>
              <w:ind w:left="0" w:hanging="2"/>
              <w:textDirection w:val="lrTb"/>
            </w:pPr>
            <w:r>
              <w:rPr>
                <w:b/>
              </w:rPr>
              <w:t>Outcome of the course</w:t>
            </w:r>
          </w:p>
          <w:p w14:paraId="4CABBE1B" w14:textId="77777777" w:rsidR="001B5BEE" w:rsidRDefault="001B5BEE" w:rsidP="001B5BEE">
            <w:pPr>
              <w:ind w:left="0" w:hanging="2"/>
              <w:jc w:val="center"/>
              <w:textDirection w:val="lrTb"/>
            </w:pPr>
          </w:p>
          <w:p w14:paraId="73A8E2F4" w14:textId="77777777" w:rsidR="001B5BEE" w:rsidRDefault="001B5BEE" w:rsidP="001B5BEE">
            <w:pPr>
              <w:ind w:left="0" w:hanging="2"/>
              <w:jc w:val="both"/>
              <w:textDirection w:val="lrTb"/>
            </w:pPr>
            <w:r>
              <w:t>The European Security course is designed to enable students to understand and independently monitor and explore key actors, processes, institutions and challenges to European security. Upon completing the course, students will have a grasp of key academic literature and be introduced to major theoretical and conceptual debates in this field. In addition, they will be able to critically observe and analyze European security dynamics based on the literature, as well as to independently write an academic essay in this field. Another important outcome of the course is for students to improve academic writing and presentation skills</w:t>
            </w:r>
          </w:p>
          <w:p w14:paraId="31179FFB" w14:textId="77777777" w:rsidR="001B5BEE" w:rsidRDefault="001B5BEE" w:rsidP="001B5BEE">
            <w:pPr>
              <w:ind w:left="0" w:hanging="2"/>
              <w:jc w:val="both"/>
              <w:textDirection w:val="lrTb"/>
            </w:pPr>
            <w:r>
              <w:tab/>
              <w:t xml:space="preserve">  </w:t>
            </w:r>
          </w:p>
        </w:tc>
      </w:tr>
      <w:tr w:rsidR="001B5BEE" w14:paraId="4E7BD519"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13D6EE11" w14:textId="77777777" w:rsidR="001B5BEE" w:rsidRDefault="001B5BEE" w:rsidP="001B5BEE">
            <w:pPr>
              <w:ind w:left="0" w:hanging="2"/>
              <w:textDirection w:val="lrTb"/>
            </w:pPr>
            <w:r>
              <w:rPr>
                <w:b/>
              </w:rPr>
              <w:t>Content of the course</w:t>
            </w:r>
          </w:p>
          <w:p w14:paraId="3777B85A" w14:textId="77777777" w:rsidR="001B5BEE" w:rsidRDefault="001B5BEE" w:rsidP="001B5BEE">
            <w:pPr>
              <w:ind w:left="0" w:hanging="2"/>
              <w:textDirection w:val="lrTb"/>
            </w:pPr>
          </w:p>
          <w:p w14:paraId="06E814B0" w14:textId="77777777" w:rsidR="001B5BEE" w:rsidRDefault="001B5BEE" w:rsidP="001B5BEE">
            <w:pPr>
              <w:ind w:left="0" w:hanging="2"/>
              <w:textDirection w:val="lrTb"/>
            </w:pPr>
            <w:r>
              <w:rPr>
                <w:i/>
              </w:rPr>
              <w:t>Theoretical classes</w:t>
            </w:r>
          </w:p>
          <w:p w14:paraId="106E5C10" w14:textId="77777777" w:rsidR="001B5BEE" w:rsidRDefault="001B5BEE" w:rsidP="001B5BEE">
            <w:pPr>
              <w:ind w:left="0" w:hanging="2"/>
              <w:textDirection w:val="lrTb"/>
            </w:pPr>
          </w:p>
          <w:p w14:paraId="74CE8729" w14:textId="77777777" w:rsidR="001B5BEE" w:rsidRDefault="001B5BEE" w:rsidP="001B5BEE">
            <w:pPr>
              <w:ind w:left="0" w:hanging="2"/>
              <w:textDirection w:val="lrTb"/>
            </w:pPr>
            <w:r>
              <w:t>1. Traditional theories and European security</w:t>
            </w:r>
          </w:p>
          <w:p w14:paraId="32241653" w14:textId="77777777" w:rsidR="001B5BEE" w:rsidRDefault="001B5BEE" w:rsidP="001B5BEE">
            <w:pPr>
              <w:ind w:left="0" w:hanging="2"/>
              <w:textDirection w:val="lrTb"/>
            </w:pPr>
            <w:r>
              <w:t>2. Critical theories and European security</w:t>
            </w:r>
          </w:p>
          <w:p w14:paraId="2D792D51" w14:textId="77777777" w:rsidR="001B5BEE" w:rsidRDefault="001B5BEE" w:rsidP="001B5BEE">
            <w:pPr>
              <w:ind w:left="0" w:hanging="2"/>
              <w:textDirection w:val="lrTb"/>
            </w:pPr>
            <w:r>
              <w:t>3. European security architecture</w:t>
            </w:r>
          </w:p>
          <w:p w14:paraId="1CCC5AFD" w14:textId="77777777" w:rsidR="001B5BEE" w:rsidRDefault="001B5BEE" w:rsidP="001B5BEE">
            <w:pPr>
              <w:ind w:left="0" w:hanging="2"/>
              <w:textDirection w:val="lrTb"/>
            </w:pPr>
            <w:r>
              <w:t>4. EU strategic culture</w:t>
            </w:r>
          </w:p>
          <w:p w14:paraId="66CB583A" w14:textId="77777777" w:rsidR="001B5BEE" w:rsidRDefault="001B5BEE" w:rsidP="001B5BEE">
            <w:pPr>
              <w:ind w:left="0" w:hanging="2"/>
              <w:textDirection w:val="lrTb"/>
            </w:pPr>
            <w:r>
              <w:t>5. EU defence integration</w:t>
            </w:r>
          </w:p>
          <w:p w14:paraId="22048B61" w14:textId="77777777" w:rsidR="001B5BEE" w:rsidRDefault="001B5BEE" w:rsidP="001B5BEE">
            <w:pPr>
              <w:ind w:left="0" w:hanging="2"/>
              <w:textDirection w:val="lrTb"/>
            </w:pPr>
            <w:r>
              <w:t>6. EU missions and operations in the world</w:t>
            </w:r>
          </w:p>
          <w:p w14:paraId="2363C7B4" w14:textId="77777777" w:rsidR="001B5BEE" w:rsidRDefault="001B5BEE" w:rsidP="001B5BEE">
            <w:pPr>
              <w:ind w:left="0" w:hanging="2"/>
              <w:textDirection w:val="lrTb"/>
            </w:pPr>
            <w:r>
              <w:t>7. EU internal security policy</w:t>
            </w:r>
          </w:p>
          <w:p w14:paraId="45F11876" w14:textId="77777777" w:rsidR="001B5BEE" w:rsidRDefault="001B5BEE" w:rsidP="001B5BEE">
            <w:pPr>
              <w:ind w:left="0" w:hanging="2"/>
              <w:textDirection w:val="lrTb"/>
            </w:pPr>
            <w:r>
              <w:t>8. Transatlantic relations and European security</w:t>
            </w:r>
          </w:p>
          <w:p w14:paraId="4D443910" w14:textId="77777777" w:rsidR="001B5BEE" w:rsidRDefault="001B5BEE" w:rsidP="001B5BEE">
            <w:pPr>
              <w:ind w:left="0" w:hanging="2"/>
              <w:textDirection w:val="lrTb"/>
            </w:pPr>
            <w:r>
              <w:t>9. EU and Russia</w:t>
            </w:r>
          </w:p>
          <w:p w14:paraId="4D4DFE9E" w14:textId="77777777" w:rsidR="001B5BEE" w:rsidRDefault="001B5BEE" w:rsidP="001B5BEE">
            <w:pPr>
              <w:ind w:left="0" w:hanging="2"/>
              <w:textDirection w:val="lrTb"/>
            </w:pPr>
            <w:r>
              <w:t>10. EU and Western Balkans</w:t>
            </w:r>
          </w:p>
          <w:p w14:paraId="442DCB24" w14:textId="77777777" w:rsidR="001B5BEE" w:rsidRDefault="001B5BEE" w:rsidP="001B5BEE">
            <w:pPr>
              <w:ind w:left="0" w:hanging="2"/>
              <w:textDirection w:val="lrTb"/>
            </w:pPr>
            <w:r>
              <w:t>11. EU, Neighborhood policy, and security</w:t>
            </w:r>
          </w:p>
          <w:p w14:paraId="2BD6F274" w14:textId="77777777" w:rsidR="001B5BEE" w:rsidRDefault="001B5BEE" w:rsidP="001B5BEE">
            <w:pPr>
              <w:ind w:left="0" w:hanging="2"/>
              <w:textDirection w:val="lrTb"/>
            </w:pPr>
            <w:r>
              <w:t>12. Future scenarios of European security</w:t>
            </w:r>
          </w:p>
          <w:p w14:paraId="702025D4" w14:textId="77777777" w:rsidR="001B5BEE" w:rsidRDefault="001B5BEE" w:rsidP="001B5BEE">
            <w:pPr>
              <w:ind w:left="0" w:hanging="2"/>
              <w:textDirection w:val="lrTb"/>
            </w:pPr>
            <w:r>
              <w:t>13. Reading week</w:t>
            </w:r>
          </w:p>
          <w:p w14:paraId="1C58201E" w14:textId="77777777" w:rsidR="001B5BEE" w:rsidRDefault="001B5BEE" w:rsidP="001B5BEE">
            <w:pPr>
              <w:ind w:left="0" w:hanging="2"/>
              <w:textDirection w:val="lrTb"/>
            </w:pPr>
            <w:r>
              <w:t>14. Reading week</w:t>
            </w:r>
          </w:p>
          <w:p w14:paraId="7BD4DA2A" w14:textId="77777777" w:rsidR="001B5BEE" w:rsidRDefault="001B5BEE" w:rsidP="001B5BEE">
            <w:pPr>
              <w:ind w:left="0" w:hanging="2"/>
              <w:textDirection w:val="lrTb"/>
            </w:pPr>
            <w:r>
              <w:t>15. Exam</w:t>
            </w:r>
          </w:p>
          <w:p w14:paraId="2FC27119" w14:textId="77777777" w:rsidR="001B5BEE" w:rsidRDefault="001B5BEE" w:rsidP="001B5BEE">
            <w:pPr>
              <w:ind w:left="0" w:hanging="2"/>
              <w:textDirection w:val="lrTb"/>
            </w:pPr>
          </w:p>
          <w:p w14:paraId="51799F07" w14:textId="77777777" w:rsidR="001B5BEE" w:rsidRDefault="001B5BEE" w:rsidP="001B5BEE">
            <w:pPr>
              <w:ind w:left="0" w:hanging="2"/>
              <w:textDirection w:val="lrTb"/>
            </w:pPr>
            <w:r>
              <w:rPr>
                <w:i/>
              </w:rPr>
              <w:t>Practical classes</w:t>
            </w:r>
          </w:p>
          <w:p w14:paraId="41D6AC4E" w14:textId="77777777" w:rsidR="001B5BEE" w:rsidRDefault="001B5BEE" w:rsidP="001B5BEE">
            <w:pPr>
              <w:ind w:left="0" w:hanging="2"/>
              <w:textDirection w:val="lrTb"/>
            </w:pPr>
          </w:p>
          <w:p w14:paraId="1945068F" w14:textId="538FBF33" w:rsidR="001B5BEE" w:rsidRDefault="001B5BEE" w:rsidP="001B5BEE">
            <w:pPr>
              <w:ind w:left="0" w:hanging="2"/>
              <w:textDirection w:val="lrTb"/>
            </w:pPr>
            <w:r>
              <w:t xml:space="preserve">Each lecture is followed by seminars during which students present their research on chosen topics. These presentations also represent the basis of their academic essays. </w:t>
            </w:r>
          </w:p>
          <w:p w14:paraId="0819526D" w14:textId="77777777" w:rsidR="001B5BEE" w:rsidRDefault="001B5BEE" w:rsidP="001B5BEE">
            <w:pPr>
              <w:ind w:left="0" w:hanging="2"/>
              <w:jc w:val="both"/>
              <w:textDirection w:val="lrTb"/>
            </w:pPr>
          </w:p>
        </w:tc>
      </w:tr>
      <w:tr w:rsidR="001B5BEE" w14:paraId="61B36011"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7FAAEE14" w14:textId="77777777" w:rsidR="001B5BEE" w:rsidRDefault="001B5BEE" w:rsidP="001B5BEE">
            <w:pPr>
              <w:ind w:left="0" w:hanging="2"/>
              <w:jc w:val="both"/>
              <w:textDirection w:val="lrTb"/>
            </w:pPr>
            <w:r>
              <w:rPr>
                <w:b/>
              </w:rPr>
              <w:t>Literature</w:t>
            </w:r>
          </w:p>
          <w:p w14:paraId="5B7C78D7" w14:textId="77777777" w:rsidR="001B5BEE" w:rsidRDefault="001B5BEE" w:rsidP="001B5BEE">
            <w:pPr>
              <w:ind w:left="0" w:hanging="2"/>
              <w:jc w:val="both"/>
              <w:textDirection w:val="lrTb"/>
            </w:pPr>
          </w:p>
          <w:p w14:paraId="5134A872" w14:textId="77777777" w:rsidR="001B5BEE" w:rsidRDefault="001B5BEE" w:rsidP="001B5BEE">
            <w:pPr>
              <w:ind w:left="0" w:hanging="2"/>
              <w:jc w:val="both"/>
              <w:textDirection w:val="lrTb"/>
              <w:rPr>
                <w:highlight w:val="white"/>
              </w:rPr>
            </w:pPr>
            <w:r>
              <w:t xml:space="preserve">Jorgensen, Knud Erik, </w:t>
            </w:r>
            <w:r>
              <w:rPr>
                <w:i/>
              </w:rPr>
              <w:t>et al</w:t>
            </w:r>
            <w:r>
              <w:t xml:space="preserve">., eds. 2015. </w:t>
            </w:r>
            <w:r>
              <w:rPr>
                <w:i/>
              </w:rPr>
              <w:t>The SAGE Handbook of European Foreign Policy</w:t>
            </w:r>
            <w:r>
              <w:t xml:space="preserve">. SAGE; Biscop, Sven, and Richard Whitman, eds. 2012. </w:t>
            </w:r>
            <w:r>
              <w:rPr>
                <w:i/>
              </w:rPr>
              <w:t>The Routledge Handbook of European Security</w:t>
            </w:r>
            <w:r>
              <w:t xml:space="preserve">. Routledge; Bigo, Didier, </w:t>
            </w:r>
            <w:r>
              <w:rPr>
                <w:i/>
              </w:rPr>
              <w:t>et al</w:t>
            </w:r>
            <w:r>
              <w:t xml:space="preserve">., eds. 2020. </w:t>
            </w:r>
            <w:r>
              <w:rPr>
                <w:i/>
              </w:rPr>
              <w:t>The Routledge Handbook of Critical European Studies</w:t>
            </w:r>
            <w:r>
              <w:t xml:space="preserve">. Routledge; </w:t>
            </w:r>
            <w:r>
              <w:rPr>
                <w:highlight w:val="white"/>
              </w:rPr>
              <w:t>Merlingen, Michael. 2012. </w:t>
            </w:r>
            <w:r>
              <w:rPr>
                <w:i/>
                <w:highlight w:val="white"/>
              </w:rPr>
              <w:t>EU Security Policy: What It Is, How It Works, Why It Matters</w:t>
            </w:r>
            <w:r>
              <w:rPr>
                <w:highlight w:val="white"/>
              </w:rPr>
              <w:t xml:space="preserve">. Boulder: Lynne Rienner Publishers; Zwolski, Kamil. 2018. </w:t>
            </w:r>
            <w:r>
              <w:rPr>
                <w:i/>
                <w:highlight w:val="white"/>
              </w:rPr>
              <w:t xml:space="preserve">European Security in Integration Theory: Contested Boundaries. </w:t>
            </w:r>
            <w:r>
              <w:rPr>
                <w:highlight w:val="white"/>
              </w:rPr>
              <w:t>Palgrave Macmillan; Pohl, Benjamin. 2014. </w:t>
            </w:r>
            <w:r>
              <w:rPr>
                <w:i/>
                <w:highlight w:val="white"/>
              </w:rPr>
              <w:t>EU Foreign Policy and Crisis Management Operations: Power, Purpose and Domestic Politics</w:t>
            </w:r>
            <w:r>
              <w:rPr>
                <w:highlight w:val="white"/>
              </w:rPr>
              <w:t xml:space="preserve">. Routledge; </w:t>
            </w:r>
            <w:r>
              <w:t xml:space="preserve">Kurowska, Xymena, and Fabian Breuer, eds. 2011. </w:t>
            </w:r>
            <w:r>
              <w:rPr>
                <w:i/>
              </w:rPr>
              <w:t>Explaining the EU's Common Security and Defence Policy: Theory in Action</w:t>
            </w:r>
            <w:r>
              <w:t xml:space="preserve">. Springer; Cladi, Lorenzo, and Andrea Locatelli, eds. 2015. </w:t>
            </w:r>
            <w:r>
              <w:rPr>
                <w:i/>
              </w:rPr>
              <w:t>International Relations Theory and European Security: What We Thought We Knew</w:t>
            </w:r>
            <w:r>
              <w:t xml:space="preserve">. Routledge; Bossing, Raphael, and Mark Rhinard, eds. 2016. </w:t>
            </w:r>
            <w:r>
              <w:rPr>
                <w:i/>
              </w:rPr>
              <w:t xml:space="preserve">Theorizing Internal Security Cooperation in the European Union. </w:t>
            </w:r>
            <w:r>
              <w:t xml:space="preserve">Oxford University Press; Cottey, Andrew, ed. 2018. </w:t>
            </w:r>
            <w:r>
              <w:rPr>
                <w:i/>
              </w:rPr>
              <w:t xml:space="preserve">The European Neutrals and NATO: Non-alignment, </w:t>
            </w:r>
            <w:r>
              <w:rPr>
                <w:i/>
              </w:rPr>
              <w:lastRenderedPageBreak/>
              <w:t xml:space="preserve">Partnership, Membership? </w:t>
            </w:r>
            <w:r>
              <w:t xml:space="preserve">Palgrave Macmillan; </w:t>
            </w:r>
            <w:r>
              <w:rPr>
                <w:highlight w:val="white"/>
              </w:rPr>
              <w:t>Blockmans, Steven, and Panos Koutrakos, eds. 2018. </w:t>
            </w:r>
            <w:r>
              <w:rPr>
                <w:i/>
                <w:highlight w:val="white"/>
              </w:rPr>
              <w:t>Research Handbook on the EU’s Common Foreign and Security Policy</w:t>
            </w:r>
            <w:r>
              <w:rPr>
                <w:highlight w:val="white"/>
              </w:rPr>
              <w:t xml:space="preserve">. Edward Elgar Publishing; </w:t>
            </w:r>
            <w:r>
              <w:t>Meijer, Hugo, and Marco Wyss, eds. 2018. </w:t>
            </w:r>
            <w:r>
              <w:rPr>
                <w:i/>
              </w:rPr>
              <w:t>The Handbook of European Defence Policies and Armed Forces</w:t>
            </w:r>
            <w:r>
              <w:t>. Oxford University Press.</w:t>
            </w:r>
          </w:p>
          <w:p w14:paraId="6C2EFD2C" w14:textId="77777777" w:rsidR="001B5BEE" w:rsidRDefault="001B5BEE" w:rsidP="001B5BEE">
            <w:pPr>
              <w:ind w:left="0" w:hanging="2"/>
              <w:jc w:val="both"/>
              <w:textDirection w:val="lrTb"/>
            </w:pPr>
          </w:p>
        </w:tc>
      </w:tr>
      <w:tr w:rsidR="001B5BEE" w14:paraId="6C738E11" w14:textId="77777777" w:rsidTr="001B5BEE">
        <w:trPr>
          <w:trHeight w:val="426"/>
        </w:trPr>
        <w:tc>
          <w:tcPr>
            <w:tcW w:w="3794" w:type="dxa"/>
            <w:gridSpan w:val="2"/>
            <w:tcBorders>
              <w:top w:val="single" w:sz="4" w:space="0" w:color="000000"/>
              <w:left w:val="single" w:sz="4" w:space="0" w:color="000000"/>
              <w:bottom w:val="single" w:sz="4" w:space="0" w:color="000000"/>
              <w:right w:val="single" w:sz="4" w:space="0" w:color="000000"/>
            </w:tcBorders>
            <w:vAlign w:val="center"/>
          </w:tcPr>
          <w:p w14:paraId="39795959" w14:textId="4B9A5E2C" w:rsidR="001B5BEE" w:rsidRDefault="001B5BEE" w:rsidP="001B5BEE">
            <w:pPr>
              <w:ind w:left="0" w:hanging="2"/>
              <w:jc w:val="center"/>
              <w:textDirection w:val="lrTb"/>
            </w:pPr>
            <w:r>
              <w:rPr>
                <w:b/>
              </w:rPr>
              <w:lastRenderedPageBreak/>
              <w:t>Total classes of active teaching: 60</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7F6577C1" w14:textId="09F05C3A" w:rsidR="001B5BEE" w:rsidRDefault="001B5BEE" w:rsidP="001B5BEE">
            <w:pPr>
              <w:ind w:left="0" w:hanging="2"/>
              <w:jc w:val="center"/>
              <w:textDirection w:val="lrTb"/>
            </w:pPr>
            <w:r>
              <w:rPr>
                <w:b/>
              </w:rPr>
              <w:t>Theoretical classes: 30</w:t>
            </w:r>
          </w:p>
        </w:tc>
        <w:tc>
          <w:tcPr>
            <w:tcW w:w="3005" w:type="dxa"/>
            <w:gridSpan w:val="2"/>
            <w:tcBorders>
              <w:top w:val="single" w:sz="4" w:space="0" w:color="000000"/>
              <w:left w:val="single" w:sz="4" w:space="0" w:color="000000"/>
              <w:bottom w:val="single" w:sz="4" w:space="0" w:color="000000"/>
              <w:right w:val="single" w:sz="4" w:space="0" w:color="000000"/>
            </w:tcBorders>
            <w:vAlign w:val="center"/>
          </w:tcPr>
          <w:p w14:paraId="72B031CE" w14:textId="73EC7F67" w:rsidR="001B5BEE" w:rsidRDefault="001B5BEE" w:rsidP="001B5BEE">
            <w:pPr>
              <w:ind w:left="0" w:hanging="2"/>
              <w:jc w:val="center"/>
              <w:textDirection w:val="lrTb"/>
            </w:pPr>
            <w:r>
              <w:rPr>
                <w:b/>
              </w:rPr>
              <w:t>Practical classes: 30</w:t>
            </w:r>
          </w:p>
        </w:tc>
      </w:tr>
      <w:tr w:rsidR="001B5BEE" w14:paraId="5E216073" w14:textId="77777777" w:rsidTr="001B5BEE">
        <w:trPr>
          <w:trHeight w:val="599"/>
        </w:trPr>
        <w:tc>
          <w:tcPr>
            <w:tcW w:w="9917" w:type="dxa"/>
            <w:gridSpan w:val="6"/>
            <w:tcBorders>
              <w:top w:val="single" w:sz="4" w:space="0" w:color="000000"/>
              <w:left w:val="single" w:sz="4" w:space="0" w:color="000000"/>
              <w:bottom w:val="single" w:sz="4" w:space="0" w:color="000000"/>
              <w:right w:val="single" w:sz="4" w:space="0" w:color="000000"/>
            </w:tcBorders>
          </w:tcPr>
          <w:p w14:paraId="281E011D" w14:textId="77777777" w:rsidR="001B5BEE" w:rsidRDefault="001B5BEE" w:rsidP="001B5BEE">
            <w:pPr>
              <w:ind w:left="0" w:hanging="2"/>
              <w:jc w:val="both"/>
              <w:textDirection w:val="lrTb"/>
            </w:pPr>
            <w:r>
              <w:rPr>
                <w:b/>
              </w:rPr>
              <w:t xml:space="preserve">Teaching methods: </w:t>
            </w:r>
          </w:p>
          <w:p w14:paraId="221D6E68" w14:textId="77777777" w:rsidR="001B5BEE" w:rsidRDefault="001B5BEE" w:rsidP="001B5BEE">
            <w:pPr>
              <w:ind w:left="0" w:hanging="2"/>
              <w:jc w:val="both"/>
              <w:textDirection w:val="lrTb"/>
            </w:pPr>
            <w:r>
              <w:t>Lectures, seminars</w:t>
            </w:r>
          </w:p>
        </w:tc>
      </w:tr>
      <w:tr w:rsidR="001B5BEE" w14:paraId="19BA2F43" w14:textId="77777777" w:rsidTr="001B5BEE">
        <w:tc>
          <w:tcPr>
            <w:tcW w:w="9917" w:type="dxa"/>
            <w:gridSpan w:val="6"/>
            <w:tcBorders>
              <w:top w:val="single" w:sz="4" w:space="0" w:color="000000"/>
              <w:left w:val="single" w:sz="4" w:space="0" w:color="000000"/>
              <w:bottom w:val="single" w:sz="4" w:space="0" w:color="000000"/>
              <w:right w:val="single" w:sz="4" w:space="0" w:color="000000"/>
            </w:tcBorders>
          </w:tcPr>
          <w:p w14:paraId="417DFF5B" w14:textId="77777777" w:rsidR="001B5BEE" w:rsidRDefault="001B5BEE" w:rsidP="001B5BEE">
            <w:pPr>
              <w:ind w:left="0" w:hanging="2"/>
              <w:jc w:val="center"/>
              <w:textDirection w:val="lrTb"/>
            </w:pPr>
            <w:r>
              <w:rPr>
                <w:b/>
              </w:rPr>
              <w:t>Assessment of knowledge (maximum no. of points 100)</w:t>
            </w:r>
          </w:p>
        </w:tc>
      </w:tr>
      <w:tr w:rsidR="001B5BEE" w14:paraId="6C4FF8C1" w14:textId="77777777" w:rsidTr="001B5BEE">
        <w:tc>
          <w:tcPr>
            <w:tcW w:w="3671" w:type="dxa"/>
            <w:tcBorders>
              <w:top w:val="single" w:sz="4" w:space="0" w:color="000000"/>
              <w:left w:val="single" w:sz="4" w:space="0" w:color="000000"/>
              <w:bottom w:val="single" w:sz="4" w:space="0" w:color="000000"/>
              <w:right w:val="single" w:sz="4" w:space="0" w:color="000000"/>
            </w:tcBorders>
          </w:tcPr>
          <w:p w14:paraId="16B3D1B8" w14:textId="77777777" w:rsidR="001B5BEE" w:rsidRDefault="001B5BEE" w:rsidP="001B5BEE">
            <w:pPr>
              <w:ind w:left="0" w:hanging="2"/>
              <w:jc w:val="center"/>
              <w:textDirection w:val="lrTb"/>
            </w:pPr>
            <w:r>
              <w:rPr>
                <w:b/>
              </w:rPr>
              <w:t>Pre-examination commitments</w:t>
            </w:r>
          </w:p>
        </w:tc>
        <w:tc>
          <w:tcPr>
            <w:tcW w:w="1785" w:type="dxa"/>
            <w:gridSpan w:val="2"/>
            <w:tcBorders>
              <w:top w:val="single" w:sz="4" w:space="0" w:color="000000"/>
              <w:left w:val="single" w:sz="4" w:space="0" w:color="000000"/>
              <w:bottom w:val="single" w:sz="4" w:space="0" w:color="000000"/>
              <w:right w:val="single" w:sz="4" w:space="0" w:color="000000"/>
            </w:tcBorders>
          </w:tcPr>
          <w:p w14:paraId="0B81320D" w14:textId="77777777" w:rsidR="001B5BEE" w:rsidRDefault="001B5BEE" w:rsidP="001B5BEE">
            <w:pPr>
              <w:ind w:left="0" w:hanging="2"/>
              <w:jc w:val="center"/>
              <w:textDirection w:val="lrTb"/>
            </w:pPr>
            <w:r>
              <w:rPr>
                <w:b/>
              </w:rPr>
              <w:t>points</w:t>
            </w:r>
          </w:p>
        </w:tc>
        <w:tc>
          <w:tcPr>
            <w:tcW w:w="3065" w:type="dxa"/>
            <w:gridSpan w:val="2"/>
            <w:tcBorders>
              <w:top w:val="single" w:sz="4" w:space="0" w:color="000000"/>
              <w:left w:val="single" w:sz="4" w:space="0" w:color="000000"/>
              <w:bottom w:val="single" w:sz="4" w:space="0" w:color="000000"/>
              <w:right w:val="single" w:sz="4" w:space="0" w:color="000000"/>
            </w:tcBorders>
          </w:tcPr>
          <w:p w14:paraId="7669C4A8" w14:textId="77777777" w:rsidR="001B5BEE" w:rsidRDefault="001B5BEE" w:rsidP="001B5BEE">
            <w:pPr>
              <w:ind w:left="0" w:hanging="2"/>
              <w:jc w:val="center"/>
              <w:textDirection w:val="lrTb"/>
            </w:pPr>
            <w:r>
              <w:t xml:space="preserve">Final examination </w:t>
            </w:r>
          </w:p>
        </w:tc>
        <w:tc>
          <w:tcPr>
            <w:tcW w:w="1396" w:type="dxa"/>
            <w:tcBorders>
              <w:top w:val="single" w:sz="4" w:space="0" w:color="000000"/>
              <w:left w:val="single" w:sz="4" w:space="0" w:color="000000"/>
              <w:bottom w:val="single" w:sz="4" w:space="0" w:color="000000"/>
              <w:right w:val="single" w:sz="4" w:space="0" w:color="000000"/>
            </w:tcBorders>
          </w:tcPr>
          <w:p w14:paraId="52AA5A1D" w14:textId="77777777" w:rsidR="001B5BEE" w:rsidRDefault="001B5BEE" w:rsidP="001B5BEE">
            <w:pPr>
              <w:ind w:left="0" w:hanging="2"/>
              <w:jc w:val="center"/>
              <w:textDirection w:val="lrTb"/>
            </w:pPr>
            <w:r>
              <w:rPr>
                <w:i/>
              </w:rPr>
              <w:t>points</w:t>
            </w:r>
          </w:p>
        </w:tc>
      </w:tr>
      <w:tr w:rsidR="001B5BEE" w14:paraId="5B8898D6" w14:textId="77777777" w:rsidTr="001B5BEE">
        <w:tc>
          <w:tcPr>
            <w:tcW w:w="3671" w:type="dxa"/>
            <w:tcBorders>
              <w:top w:val="single" w:sz="4" w:space="0" w:color="000000"/>
              <w:left w:val="single" w:sz="4" w:space="0" w:color="000000"/>
              <w:bottom w:val="single" w:sz="4" w:space="0" w:color="000000"/>
              <w:right w:val="single" w:sz="4" w:space="0" w:color="000000"/>
            </w:tcBorders>
          </w:tcPr>
          <w:p w14:paraId="5306E55F" w14:textId="77777777" w:rsidR="001B5BEE" w:rsidRDefault="001B5BEE" w:rsidP="001B5BEE">
            <w:pPr>
              <w:ind w:left="0" w:hanging="2"/>
              <w:jc w:val="center"/>
              <w:textDirection w:val="lrTb"/>
            </w:pPr>
            <w:r>
              <w:t>activity</w:t>
            </w:r>
          </w:p>
        </w:tc>
        <w:tc>
          <w:tcPr>
            <w:tcW w:w="1785" w:type="dxa"/>
            <w:gridSpan w:val="2"/>
            <w:tcBorders>
              <w:top w:val="single" w:sz="4" w:space="0" w:color="000000"/>
              <w:left w:val="single" w:sz="4" w:space="0" w:color="000000"/>
              <w:bottom w:val="single" w:sz="4" w:space="0" w:color="000000"/>
              <w:right w:val="single" w:sz="4" w:space="0" w:color="000000"/>
            </w:tcBorders>
          </w:tcPr>
          <w:p w14:paraId="4A9A3EA9" w14:textId="77777777" w:rsidR="001B5BEE" w:rsidRDefault="001B5BEE" w:rsidP="001B5BEE">
            <w:pPr>
              <w:tabs>
                <w:tab w:val="left" w:pos="1200"/>
              </w:tabs>
              <w:ind w:left="0" w:hanging="2"/>
              <w:jc w:val="center"/>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1A62A85F" w14:textId="77777777" w:rsidR="001B5BEE" w:rsidRDefault="001B5BEE" w:rsidP="001B5BEE">
            <w:pPr>
              <w:ind w:left="0" w:hanging="2"/>
              <w:jc w:val="center"/>
              <w:textDirection w:val="lrTb"/>
            </w:pPr>
            <w:r>
              <w:t>written test</w:t>
            </w:r>
          </w:p>
        </w:tc>
        <w:tc>
          <w:tcPr>
            <w:tcW w:w="1396" w:type="dxa"/>
            <w:tcBorders>
              <w:top w:val="single" w:sz="4" w:space="0" w:color="000000"/>
              <w:left w:val="single" w:sz="4" w:space="0" w:color="000000"/>
              <w:bottom w:val="single" w:sz="4" w:space="0" w:color="000000"/>
              <w:right w:val="single" w:sz="4" w:space="0" w:color="000000"/>
            </w:tcBorders>
          </w:tcPr>
          <w:p w14:paraId="55E20938" w14:textId="77777777" w:rsidR="001B5BEE" w:rsidRDefault="001B5BEE" w:rsidP="001B5BEE">
            <w:pPr>
              <w:ind w:left="0" w:hanging="2"/>
              <w:jc w:val="center"/>
              <w:textDirection w:val="lrTb"/>
            </w:pPr>
            <w:r>
              <w:rPr>
                <w:b/>
              </w:rPr>
              <w:t>20</w:t>
            </w:r>
          </w:p>
        </w:tc>
      </w:tr>
      <w:tr w:rsidR="001B5BEE" w14:paraId="2F77737B" w14:textId="77777777" w:rsidTr="001B5BEE">
        <w:tc>
          <w:tcPr>
            <w:tcW w:w="3671" w:type="dxa"/>
            <w:tcBorders>
              <w:top w:val="single" w:sz="4" w:space="0" w:color="000000"/>
              <w:left w:val="single" w:sz="4" w:space="0" w:color="000000"/>
              <w:bottom w:val="single" w:sz="4" w:space="0" w:color="000000"/>
              <w:right w:val="single" w:sz="4" w:space="0" w:color="000000"/>
            </w:tcBorders>
          </w:tcPr>
          <w:p w14:paraId="225C2E5F" w14:textId="77777777" w:rsidR="001B5BEE" w:rsidRDefault="001B5BEE" w:rsidP="001B5BEE">
            <w:pPr>
              <w:ind w:left="0" w:hanging="2"/>
              <w:jc w:val="center"/>
              <w:textDirection w:val="lrTb"/>
            </w:pPr>
            <w:r>
              <w:t>practical teaching</w:t>
            </w:r>
          </w:p>
        </w:tc>
        <w:tc>
          <w:tcPr>
            <w:tcW w:w="1785" w:type="dxa"/>
            <w:gridSpan w:val="2"/>
            <w:tcBorders>
              <w:top w:val="single" w:sz="4" w:space="0" w:color="000000"/>
              <w:left w:val="single" w:sz="4" w:space="0" w:color="000000"/>
              <w:bottom w:val="single" w:sz="4" w:space="0" w:color="000000"/>
              <w:right w:val="single" w:sz="4" w:space="0" w:color="000000"/>
            </w:tcBorders>
          </w:tcPr>
          <w:p w14:paraId="456BCA2E" w14:textId="77777777" w:rsidR="001B5BEE" w:rsidRDefault="001B5BEE" w:rsidP="001B5BEE">
            <w:pPr>
              <w:ind w:left="0" w:hanging="2"/>
              <w:jc w:val="center"/>
              <w:textDirection w:val="lrTb"/>
            </w:pPr>
            <w:r>
              <w:rPr>
                <w:b/>
              </w:rPr>
              <w:t>10</w:t>
            </w:r>
          </w:p>
        </w:tc>
        <w:tc>
          <w:tcPr>
            <w:tcW w:w="3065" w:type="dxa"/>
            <w:gridSpan w:val="2"/>
            <w:tcBorders>
              <w:top w:val="single" w:sz="4" w:space="0" w:color="000000"/>
              <w:left w:val="single" w:sz="4" w:space="0" w:color="000000"/>
              <w:bottom w:val="single" w:sz="4" w:space="0" w:color="000000"/>
              <w:right w:val="single" w:sz="4" w:space="0" w:color="000000"/>
            </w:tcBorders>
          </w:tcPr>
          <w:p w14:paraId="53380E1E" w14:textId="77777777" w:rsidR="001B5BEE" w:rsidRDefault="001B5BEE" w:rsidP="001B5BEE">
            <w:pPr>
              <w:ind w:left="0" w:hanging="2"/>
              <w:jc w:val="center"/>
              <w:textDirection w:val="lrTb"/>
            </w:pPr>
            <w:r>
              <w:t>oral examination</w:t>
            </w:r>
          </w:p>
        </w:tc>
        <w:tc>
          <w:tcPr>
            <w:tcW w:w="1396" w:type="dxa"/>
            <w:tcBorders>
              <w:top w:val="single" w:sz="4" w:space="0" w:color="000000"/>
              <w:left w:val="single" w:sz="4" w:space="0" w:color="000000"/>
              <w:bottom w:val="single" w:sz="4" w:space="0" w:color="000000"/>
              <w:right w:val="single" w:sz="4" w:space="0" w:color="000000"/>
            </w:tcBorders>
          </w:tcPr>
          <w:p w14:paraId="288272B6" w14:textId="77777777" w:rsidR="001B5BEE" w:rsidRDefault="001B5BEE" w:rsidP="001B5BEE">
            <w:pPr>
              <w:ind w:left="0" w:hanging="2"/>
              <w:jc w:val="center"/>
              <w:textDirection w:val="lrTb"/>
            </w:pPr>
          </w:p>
        </w:tc>
      </w:tr>
      <w:tr w:rsidR="001B5BEE" w14:paraId="3A0630F7" w14:textId="77777777" w:rsidTr="001B5BEE">
        <w:tc>
          <w:tcPr>
            <w:tcW w:w="3671" w:type="dxa"/>
            <w:tcBorders>
              <w:top w:val="single" w:sz="4" w:space="0" w:color="000000"/>
              <w:left w:val="single" w:sz="4" w:space="0" w:color="000000"/>
              <w:bottom w:val="single" w:sz="4" w:space="0" w:color="000000"/>
              <w:right w:val="single" w:sz="4" w:space="0" w:color="000000"/>
            </w:tcBorders>
          </w:tcPr>
          <w:p w14:paraId="1495F47A" w14:textId="77777777" w:rsidR="001B5BEE" w:rsidRDefault="001B5BEE" w:rsidP="001B5BEE">
            <w:pPr>
              <w:ind w:left="0" w:hanging="2"/>
              <w:jc w:val="center"/>
              <w:textDirection w:val="lrTb"/>
            </w:pPr>
            <w:r>
              <w:t>colloquium(a)</w:t>
            </w:r>
          </w:p>
        </w:tc>
        <w:tc>
          <w:tcPr>
            <w:tcW w:w="1785" w:type="dxa"/>
            <w:gridSpan w:val="2"/>
            <w:tcBorders>
              <w:top w:val="single" w:sz="4" w:space="0" w:color="000000"/>
              <w:left w:val="single" w:sz="4" w:space="0" w:color="000000"/>
              <w:bottom w:val="single" w:sz="4" w:space="0" w:color="000000"/>
              <w:right w:val="single" w:sz="4" w:space="0" w:color="000000"/>
            </w:tcBorders>
          </w:tcPr>
          <w:p w14:paraId="57D0A809" w14:textId="77777777" w:rsidR="001B5BEE" w:rsidRDefault="001B5BEE" w:rsidP="001B5BEE">
            <w:pPr>
              <w:ind w:left="0" w:hanging="2"/>
              <w:jc w:val="center"/>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7ACB588D" w14:textId="77777777" w:rsidR="001B5BEE" w:rsidRDefault="001B5BEE" w:rsidP="001B5BEE">
            <w:pPr>
              <w:ind w:left="0" w:hanging="2"/>
              <w:jc w:val="center"/>
              <w:textDirection w:val="lrTb"/>
            </w:pPr>
            <w:r>
              <w:t>academic essay</w:t>
            </w:r>
          </w:p>
        </w:tc>
        <w:tc>
          <w:tcPr>
            <w:tcW w:w="1396" w:type="dxa"/>
            <w:tcBorders>
              <w:top w:val="single" w:sz="4" w:space="0" w:color="000000"/>
              <w:left w:val="single" w:sz="4" w:space="0" w:color="000000"/>
              <w:bottom w:val="single" w:sz="4" w:space="0" w:color="000000"/>
              <w:right w:val="single" w:sz="4" w:space="0" w:color="000000"/>
            </w:tcBorders>
          </w:tcPr>
          <w:p w14:paraId="66112004" w14:textId="77777777" w:rsidR="001B5BEE" w:rsidRDefault="001B5BEE" w:rsidP="001B5BEE">
            <w:pPr>
              <w:ind w:left="0" w:hanging="2"/>
              <w:jc w:val="center"/>
              <w:textDirection w:val="lrTb"/>
            </w:pPr>
            <w:r>
              <w:rPr>
                <w:b/>
              </w:rPr>
              <w:t>50</w:t>
            </w:r>
          </w:p>
        </w:tc>
      </w:tr>
      <w:tr w:rsidR="001B5BEE" w14:paraId="31506464" w14:textId="77777777" w:rsidTr="001B5BEE">
        <w:tc>
          <w:tcPr>
            <w:tcW w:w="3671" w:type="dxa"/>
            <w:tcBorders>
              <w:top w:val="single" w:sz="4" w:space="0" w:color="000000"/>
              <w:left w:val="single" w:sz="4" w:space="0" w:color="000000"/>
              <w:bottom w:val="single" w:sz="4" w:space="0" w:color="000000"/>
              <w:right w:val="single" w:sz="4" w:space="0" w:color="000000"/>
            </w:tcBorders>
          </w:tcPr>
          <w:p w14:paraId="1A9142B5" w14:textId="77777777" w:rsidR="001B5BEE" w:rsidRDefault="001B5BEE" w:rsidP="001B5BEE">
            <w:pPr>
              <w:ind w:left="0" w:hanging="2"/>
              <w:jc w:val="center"/>
              <w:textDirection w:val="lrTb"/>
            </w:pPr>
            <w:r>
              <w:t>seminar(s)</w:t>
            </w:r>
          </w:p>
        </w:tc>
        <w:tc>
          <w:tcPr>
            <w:tcW w:w="1785" w:type="dxa"/>
            <w:gridSpan w:val="2"/>
            <w:tcBorders>
              <w:top w:val="single" w:sz="4" w:space="0" w:color="000000"/>
              <w:left w:val="single" w:sz="4" w:space="0" w:color="000000"/>
              <w:bottom w:val="single" w:sz="4" w:space="0" w:color="000000"/>
              <w:right w:val="single" w:sz="4" w:space="0" w:color="000000"/>
            </w:tcBorders>
          </w:tcPr>
          <w:p w14:paraId="51B8DE76" w14:textId="77777777" w:rsidR="001B5BEE" w:rsidRDefault="001B5BEE" w:rsidP="001B5BEE">
            <w:pPr>
              <w:ind w:left="0" w:hanging="2"/>
              <w:jc w:val="center"/>
              <w:textDirection w:val="lrTb"/>
            </w:pPr>
            <w:r>
              <w:rPr>
                <w:b/>
              </w:rPr>
              <w:t>20</w:t>
            </w:r>
          </w:p>
        </w:tc>
        <w:tc>
          <w:tcPr>
            <w:tcW w:w="3065" w:type="dxa"/>
            <w:gridSpan w:val="2"/>
            <w:tcBorders>
              <w:top w:val="single" w:sz="4" w:space="0" w:color="000000"/>
              <w:left w:val="single" w:sz="4" w:space="0" w:color="000000"/>
              <w:bottom w:val="single" w:sz="4" w:space="0" w:color="000000"/>
              <w:right w:val="single" w:sz="4" w:space="0" w:color="000000"/>
            </w:tcBorders>
          </w:tcPr>
          <w:p w14:paraId="3C3B445C" w14:textId="77777777" w:rsidR="001B5BEE" w:rsidRDefault="001B5BEE" w:rsidP="001B5BEE">
            <w:pPr>
              <w:ind w:left="0" w:hanging="2"/>
              <w:jc w:val="center"/>
              <w:textDirection w:val="lrTb"/>
            </w:pPr>
          </w:p>
        </w:tc>
        <w:tc>
          <w:tcPr>
            <w:tcW w:w="1396" w:type="dxa"/>
            <w:tcBorders>
              <w:top w:val="single" w:sz="4" w:space="0" w:color="000000"/>
              <w:left w:val="single" w:sz="4" w:space="0" w:color="000000"/>
              <w:bottom w:val="single" w:sz="4" w:space="0" w:color="000000"/>
              <w:right w:val="single" w:sz="4" w:space="0" w:color="000000"/>
            </w:tcBorders>
          </w:tcPr>
          <w:p w14:paraId="48BA620D" w14:textId="77777777" w:rsidR="001B5BEE" w:rsidRDefault="001B5BEE" w:rsidP="001B5BEE">
            <w:pPr>
              <w:ind w:left="0" w:hanging="2"/>
              <w:jc w:val="center"/>
              <w:textDirection w:val="lrTb"/>
            </w:pPr>
          </w:p>
        </w:tc>
      </w:tr>
    </w:tbl>
    <w:p w14:paraId="02D5B64A" w14:textId="77777777" w:rsidR="00284E6E" w:rsidRDefault="00284E6E">
      <w:pPr>
        <w:pBdr>
          <w:top w:val="nil"/>
          <w:left w:val="nil"/>
          <w:bottom w:val="nil"/>
          <w:right w:val="nil"/>
          <w:between w:val="nil"/>
        </w:pBdr>
        <w:spacing w:line="276" w:lineRule="auto"/>
        <w:ind w:left="0" w:hanging="2"/>
        <w:rPr>
          <w:rFonts w:ascii="Arial" w:eastAsia="Arial" w:hAnsi="Arial" w:cs="Arial"/>
          <w:color w:val="000000"/>
          <w:sz w:val="22"/>
          <w:szCs w:val="22"/>
        </w:rPr>
      </w:pPr>
    </w:p>
    <w:p w14:paraId="4DB76226" w14:textId="77777777" w:rsidR="00284E6E" w:rsidRDefault="00284E6E">
      <w:pPr>
        <w:ind w:left="0" w:hanging="2"/>
      </w:pPr>
    </w:p>
    <w:p w14:paraId="0F3D298B" w14:textId="77777777" w:rsidR="00284E6E" w:rsidRDefault="00284E6E">
      <w:pPr>
        <w:ind w:left="0" w:hanging="2"/>
      </w:pPr>
    </w:p>
    <w:sectPr w:rsidR="00284E6E">
      <w:pgSz w:w="11906" w:h="16838"/>
      <w:pgMar w:top="1417" w:right="1418" w:bottom="141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6E"/>
    <w:rsid w:val="001B5BEE"/>
    <w:rsid w:val="00284E6E"/>
    <w:rsid w:val="004F467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270A6EBE"/>
  <w15:docId w15:val="{4FFF8AB6-32DE-9348-AF06-049E4856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Latn"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hanging="1"/>
      <w:textDirection w:val="btLr"/>
      <w:textAlignment w:val="top"/>
      <w:outlineLvl w:val="0"/>
    </w:pPr>
    <w:rPr>
      <w:position w:val="-1"/>
      <w:lang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pPr>
      <w:widowControl/>
      <w:autoSpaceDE/>
      <w:autoSpaceDN/>
      <w:adjustRightInd/>
      <w:jc w:val="both"/>
    </w:pPr>
    <w:rPr>
      <w:lang w:val="de-DE" w:eastAsia="en-US"/>
    </w:rPr>
  </w:style>
  <w:style w:type="character" w:customStyle="1" w:styleId="FootnoteTextChar">
    <w:name w:val="Footnote Text Char"/>
    <w:rPr>
      <w:w w:val="100"/>
      <w:position w:val="-1"/>
      <w:effect w:val="none"/>
      <w:vertAlign w:val="baseline"/>
      <w:cs w:val="0"/>
      <w:em w:val="none"/>
      <w:lang w:val="de-DE"/>
    </w:rPr>
  </w:style>
  <w:style w:type="character" w:customStyle="1" w:styleId="sredinanaslov11">
    <w:name w:val="sredinanaslov11"/>
    <w:rPr>
      <w:rFonts w:ascii="Times New Roman" w:hAnsi="Times New Roman"/>
      <w:w w:val="100"/>
      <w:position w:val="-1"/>
      <w:sz w:val="20"/>
      <w:effect w:val="none"/>
      <w:vertAlign w:val="baseline"/>
      <w:cs w:val="0"/>
      <w:em w:val="none"/>
    </w:rPr>
  </w:style>
  <w:style w:type="paragraph" w:styleId="BodyText">
    <w:name w:val="Body Text"/>
    <w:basedOn w:val="Normal"/>
    <w:pPr>
      <w:widowControl/>
      <w:autoSpaceDE/>
      <w:autoSpaceDN/>
      <w:adjustRightInd/>
    </w:pPr>
    <w:rPr>
      <w:sz w:val="24"/>
      <w:lang w:val="en-GB" w:eastAsia="en-US"/>
    </w:rPr>
  </w:style>
  <w:style w:type="character" w:customStyle="1" w:styleId="BodyTextChar">
    <w:name w:val="Body Text Char"/>
    <w:rPr>
      <w:w w:val="100"/>
      <w:position w:val="-1"/>
      <w:sz w:val="24"/>
      <w:effect w:val="none"/>
      <w:vertAlign w:val="baseline"/>
      <w:cs w:val="0"/>
      <w:em w:val="none"/>
      <w:lang w:val="en-GB"/>
    </w:rPr>
  </w:style>
  <w:style w:type="character" w:styleId="Strong">
    <w:name w:val="Strong"/>
    <w:rPr>
      <w:b/>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1zTMDJoZBI6UfjHx/BHMr54G8w==">AMUW2mVucbseCnYFfwVPgqxIy3Aim4xwthmB9KRR/55XNLLCm1XtVMCrIn90IBHuSzc7anH2StcMU6KtAPqC3Joqru7lxFMQqe+wOhyXJZwCEF/fN/GVo+I=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Pentium4</dc:creator>
  <cp:lastModifiedBy>Nemanja Dzuverovic</cp:lastModifiedBy>
  <cp:revision>3</cp:revision>
  <dcterms:created xsi:type="dcterms:W3CDTF">2021-04-25T21:20:00Z</dcterms:created>
  <dcterms:modified xsi:type="dcterms:W3CDTF">2021-06-13T16:33:00Z</dcterms:modified>
</cp:coreProperties>
</file>